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24C70" w14:textId="77777777" w:rsidR="00915AF7" w:rsidRPr="004323AD" w:rsidRDefault="00915AF7" w:rsidP="00915AF7">
      <w:pPr>
        <w:pStyle w:val="ConsPlusNormal"/>
        <w:ind w:left="637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23AD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94B6E68" w14:textId="570D6B5D" w:rsidR="00915AF7" w:rsidRPr="004323AD" w:rsidRDefault="00915AF7" w:rsidP="00915AF7">
      <w:pPr>
        <w:pStyle w:val="ConsPlusNormal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3AD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3AD">
        <w:rPr>
          <w:rFonts w:ascii="Times New Roman" w:hAnsi="Times New Roman" w:cs="Times New Roman"/>
          <w:sz w:val="24"/>
          <w:szCs w:val="24"/>
        </w:rPr>
        <w:t>Администрации Балахнинского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7603A" w14:textId="08A4A11B" w:rsidR="00915AF7" w:rsidRPr="004323AD" w:rsidRDefault="00915AF7" w:rsidP="00915AF7">
      <w:pPr>
        <w:pStyle w:val="ConsPlusNormal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3AD">
        <w:rPr>
          <w:rFonts w:ascii="Times New Roman" w:hAnsi="Times New Roman" w:cs="Times New Roman"/>
          <w:sz w:val="24"/>
          <w:szCs w:val="24"/>
        </w:rPr>
        <w:t>муниципального округа Нижегородской области</w:t>
      </w:r>
    </w:p>
    <w:p w14:paraId="0A935FC0" w14:textId="6C623B7C" w:rsidR="00915AF7" w:rsidRDefault="00915AF7" w:rsidP="00915AF7">
      <w:pPr>
        <w:pStyle w:val="ConsPlusNormal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844">
        <w:rPr>
          <w:rFonts w:ascii="Times New Roman" w:hAnsi="Times New Roman" w:cs="Times New Roman"/>
          <w:sz w:val="24"/>
          <w:szCs w:val="24"/>
        </w:rPr>
        <w:t>от 07.11.2024 № 2347</w:t>
      </w:r>
    </w:p>
    <w:p w14:paraId="74827E9F" w14:textId="77777777" w:rsidR="00915AF7" w:rsidRDefault="00915AF7" w:rsidP="00915AF7">
      <w:pPr>
        <w:pStyle w:val="ConsPlusNormal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14:paraId="43791DCE" w14:textId="7D6BEE3F" w:rsidR="00915AF7" w:rsidRPr="00915AF7" w:rsidRDefault="00915AF7" w:rsidP="00915A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AF7">
        <w:rPr>
          <w:rFonts w:ascii="Times New Roman" w:hAnsi="Times New Roman" w:cs="Times New Roman"/>
          <w:b/>
          <w:sz w:val="24"/>
          <w:szCs w:val="24"/>
        </w:rPr>
        <w:t>Карта комплаенс - рисков нарушения антимонопольного законодательства на 2025 год</w:t>
      </w:r>
    </w:p>
    <w:p w14:paraId="15CC1BD3" w14:textId="121EFE1D" w:rsidR="00915AF7" w:rsidRDefault="00915AF7" w:rsidP="00915AF7">
      <w:pPr>
        <w:autoSpaceDE w:val="0"/>
        <w:autoSpaceDN w:val="0"/>
        <w:adjustRightInd w:val="0"/>
        <w:spacing w:line="360" w:lineRule="auto"/>
        <w:ind w:left="6379" w:firstLine="0"/>
        <w:jc w:val="right"/>
      </w:pPr>
    </w:p>
    <w:tbl>
      <w:tblPr>
        <w:tblW w:w="1455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8"/>
        <w:gridCol w:w="1775"/>
        <w:gridCol w:w="2513"/>
        <w:gridCol w:w="2240"/>
        <w:gridCol w:w="3071"/>
        <w:gridCol w:w="128"/>
        <w:gridCol w:w="2385"/>
        <w:gridCol w:w="133"/>
        <w:gridCol w:w="1845"/>
      </w:tblGrid>
      <w:tr w:rsidR="00915AF7" w:rsidRPr="00915AF7" w14:paraId="48719188" w14:textId="77777777" w:rsidTr="004252CA">
        <w:trPr>
          <w:trHeight w:hRule="exact" w:val="112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E1720" w14:textId="77777777" w:rsidR="00915AF7" w:rsidRPr="00915AF7" w:rsidRDefault="00915AF7" w:rsidP="00915AF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№</w:t>
            </w:r>
          </w:p>
          <w:p w14:paraId="1A39DB4D" w14:textId="77777777" w:rsidR="00915AF7" w:rsidRPr="00915AF7" w:rsidRDefault="00915AF7" w:rsidP="00915AF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EE70D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4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Уровень комплаенс-риска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2B28B" w14:textId="5CF03300" w:rsidR="00915AF7" w:rsidRPr="00915AF7" w:rsidRDefault="00915AF7" w:rsidP="00915AF7">
            <w:pPr>
              <w:autoSpaceDE w:val="0"/>
              <w:autoSpaceDN w:val="0"/>
              <w:adjustRightInd w:val="0"/>
              <w:ind w:left="110" w:right="115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Описание</w:t>
            </w:r>
            <w:r w:rsidR="004252C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15AF7">
              <w:rPr>
                <w:rFonts w:eastAsia="Times New Roman"/>
                <w:szCs w:val="24"/>
                <w:lang w:eastAsia="ru-RU"/>
              </w:rPr>
              <w:t>комплаенс-рисков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849A6" w14:textId="357A652E" w:rsidR="00915AF7" w:rsidRPr="00915AF7" w:rsidRDefault="00915AF7" w:rsidP="00915AF7">
            <w:pPr>
              <w:autoSpaceDE w:val="0"/>
              <w:autoSpaceDN w:val="0"/>
              <w:adjustRightInd w:val="0"/>
              <w:ind w:left="149" w:right="87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Причины возникновения</w:t>
            </w:r>
            <w:r w:rsidR="004252C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15AF7">
              <w:rPr>
                <w:rFonts w:eastAsia="Times New Roman"/>
                <w:szCs w:val="24"/>
                <w:lang w:eastAsia="ru-RU"/>
              </w:rPr>
              <w:t>комплаенс-рисков и их оценка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E4643" w14:textId="11CDC12F" w:rsidR="00915AF7" w:rsidRPr="00915AF7" w:rsidRDefault="00915AF7" w:rsidP="00915AF7">
            <w:pPr>
              <w:autoSpaceDE w:val="0"/>
              <w:autoSpaceDN w:val="0"/>
              <w:adjustRightInd w:val="0"/>
              <w:ind w:left="35" w:right="39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Мероприятия по минимизации и устранению</w:t>
            </w:r>
            <w:r w:rsidR="004252C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15AF7">
              <w:rPr>
                <w:rFonts w:eastAsia="Times New Roman"/>
                <w:szCs w:val="24"/>
                <w:lang w:eastAsia="ru-RU"/>
              </w:rPr>
              <w:t>комплаенс-рисков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A53D3" w14:textId="444E7692" w:rsidR="00915AF7" w:rsidRPr="00915AF7" w:rsidRDefault="00915AF7" w:rsidP="00915AF7">
            <w:pPr>
              <w:autoSpaceDE w:val="0"/>
              <w:autoSpaceDN w:val="0"/>
              <w:adjustRightInd w:val="0"/>
              <w:ind w:left="82" w:right="14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Наличие (отсутствие) остаточных</w:t>
            </w:r>
            <w:r w:rsidR="004252C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15AF7">
              <w:rPr>
                <w:rFonts w:eastAsia="Times New Roman"/>
                <w:szCs w:val="24"/>
                <w:lang w:eastAsia="ru-RU"/>
              </w:rPr>
              <w:t>комплаенс-рисков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EBD89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121" w:right="1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Вероятность</w:t>
            </w:r>
          </w:p>
          <w:p w14:paraId="159A2297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121" w:right="1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повторного</w:t>
            </w:r>
          </w:p>
          <w:p w14:paraId="552DAAF5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121" w:right="1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возникновения</w:t>
            </w:r>
          </w:p>
          <w:p w14:paraId="54046A5F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121" w:right="1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комплаенс-рисков</w:t>
            </w:r>
          </w:p>
        </w:tc>
      </w:tr>
      <w:tr w:rsidR="00915AF7" w:rsidRPr="00915AF7" w14:paraId="2915BAFB" w14:textId="77777777" w:rsidTr="004252CA">
        <w:trPr>
          <w:trHeight w:hRule="exact" w:val="53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8F223" w14:textId="77777777" w:rsidR="00915AF7" w:rsidRPr="00915AF7" w:rsidRDefault="00915AF7" w:rsidP="00915AF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9DF97D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42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D7902E9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42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6715799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82" w:right="14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b/>
                <w:bCs/>
                <w:szCs w:val="24"/>
                <w:lang w:eastAsia="ru-RU"/>
              </w:rPr>
              <w:t>В сфере формирования документов стратегического планирования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3A4FD8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121" w:right="136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5AF7" w:rsidRPr="00915AF7" w14:paraId="1642C77B" w14:textId="77777777" w:rsidTr="004252CA">
        <w:trPr>
          <w:trHeight w:hRule="exact" w:val="498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2FAC9" w14:textId="77777777" w:rsidR="00915AF7" w:rsidRPr="00915AF7" w:rsidRDefault="00915AF7" w:rsidP="00915AF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BD56D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4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Существенный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7795D" w14:textId="3723A148" w:rsidR="00915AF7" w:rsidRPr="00915AF7" w:rsidRDefault="00915AF7" w:rsidP="00915AF7">
            <w:pPr>
              <w:autoSpaceDE w:val="0"/>
              <w:autoSpaceDN w:val="0"/>
              <w:adjustRightInd w:val="0"/>
              <w:ind w:left="110" w:right="115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Разработка документов системы стратегического планирования и НПА</w:t>
            </w:r>
            <w:r w:rsidR="004252C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15AF7">
              <w:rPr>
                <w:rFonts w:eastAsia="Times New Roman"/>
                <w:szCs w:val="24"/>
                <w:lang w:eastAsia="ru-RU"/>
              </w:rPr>
              <w:t>с нарушениями антимонопольного законодательства, содержащими дискриминационное условия для хозяйствующих субъектов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79231" w14:textId="2C225033" w:rsidR="00915AF7" w:rsidRPr="00915AF7" w:rsidRDefault="00915AF7" w:rsidP="00915AF7">
            <w:pPr>
              <w:autoSpaceDE w:val="0"/>
              <w:autoSpaceDN w:val="0"/>
              <w:adjustRightInd w:val="0"/>
              <w:ind w:left="149" w:right="87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Ошибочное применение</w:t>
            </w:r>
            <w:r w:rsidR="004252C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15AF7">
              <w:rPr>
                <w:rFonts w:eastAsia="Times New Roman"/>
                <w:szCs w:val="24"/>
                <w:lang w:eastAsia="ru-RU"/>
              </w:rPr>
              <w:t>материального и (или) процессуального норм права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03E7D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35" w:right="39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Соблюдение административных регламентов, порядков и положений при разработке проектов НПА</w:t>
            </w:r>
          </w:p>
          <w:p w14:paraId="16EA0F57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35" w:right="39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C5B2C7C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35" w:right="39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14:paraId="40C66D82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35" w:right="39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763F39D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35" w:right="39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Проведение заседаний рабочих групп, советов и сессий по вопросам разработки и</w:t>
            </w:r>
          </w:p>
          <w:p w14:paraId="3AD3A2C1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35" w:right="39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797B5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82" w:right="14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Остаточный риск сохраняется, но снижается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3F389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121" w:right="1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Fonts w:eastAsia="Times New Roman"/>
                <w:szCs w:val="24"/>
                <w:lang w:eastAsia="ru-RU"/>
              </w:rPr>
              <w:t>Незначительная</w:t>
            </w:r>
          </w:p>
        </w:tc>
      </w:tr>
      <w:tr w:rsidR="00915AF7" w:rsidRPr="00915AF7" w14:paraId="0F943A91" w14:textId="77777777" w:rsidTr="004252CA">
        <w:trPr>
          <w:trHeight w:hRule="exact" w:val="214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E625C" w14:textId="77777777" w:rsidR="00915AF7" w:rsidRPr="00915AF7" w:rsidRDefault="00915AF7" w:rsidP="00915AF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010AD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42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CB1F7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110" w:right="115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4009C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149" w:right="87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283D22" w14:textId="7376C99D" w:rsidR="00915AF7" w:rsidRPr="00915AF7" w:rsidRDefault="00915AF7" w:rsidP="00915AF7">
            <w:pPr>
              <w:autoSpaceDE w:val="0"/>
              <w:autoSpaceDN w:val="0"/>
              <w:adjustRightInd w:val="0"/>
              <w:ind w:left="35" w:right="39" w:firstLine="0"/>
              <w:jc w:val="center"/>
              <w:rPr>
                <w:rStyle w:val="212pt"/>
                <w:rFonts w:eastAsia="Times New Roman"/>
                <w:color w:val="auto"/>
                <w:shd w:val="clear" w:color="auto" w:fill="auto"/>
              </w:rPr>
            </w:pPr>
            <w:r w:rsidRPr="00915AF7">
              <w:rPr>
                <w:rStyle w:val="212pt"/>
                <w:rFonts w:eastAsia="Times New Roman"/>
                <w:color w:val="auto"/>
                <w:shd w:val="clear" w:color="auto" w:fill="auto"/>
              </w:rPr>
              <w:t>исполнения документов стратегического планирования</w:t>
            </w:r>
          </w:p>
          <w:p w14:paraId="1BBE20BD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35" w:right="39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15AF7">
              <w:rPr>
                <w:rStyle w:val="212pt"/>
                <w:rFonts w:eastAsia="Times New Roman"/>
                <w:color w:val="auto"/>
                <w:shd w:val="clear" w:color="auto" w:fill="auto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AAEE7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82" w:right="143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4AF42" w14:textId="77777777" w:rsidR="00915AF7" w:rsidRPr="00915AF7" w:rsidRDefault="00915AF7" w:rsidP="00915AF7">
            <w:pPr>
              <w:autoSpaceDE w:val="0"/>
              <w:autoSpaceDN w:val="0"/>
              <w:adjustRightInd w:val="0"/>
              <w:ind w:left="121" w:right="136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5AF7" w:rsidRPr="00915AF7" w14:paraId="02307473" w14:textId="77777777" w:rsidTr="004252CA">
        <w:trPr>
          <w:trHeight w:hRule="exact" w:val="394"/>
          <w:jc w:val="center"/>
        </w:trPr>
        <w:tc>
          <w:tcPr>
            <w:tcW w:w="14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77A02" w14:textId="423923FD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21" w:right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AF7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инвестиционной и</w:t>
            </w:r>
            <w:r w:rsidR="00425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AF7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предпринимательской</w:t>
            </w:r>
            <w:r w:rsidR="00425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AF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915AF7" w:rsidRPr="00915AF7" w14:paraId="0292937E" w14:textId="77777777" w:rsidTr="004252CA">
        <w:trPr>
          <w:trHeight w:hRule="exact" w:val="485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00B77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2"/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483BC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42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Существенный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BA49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10" w:right="115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Разработка НПА, затрагивающих вопросы</w:t>
            </w:r>
          </w:p>
          <w:p w14:paraId="73ED4713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10" w:right="115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CABD2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49" w:right="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 квалификация сотрудников или недостаточный опыт работы сотрудника</w:t>
            </w:r>
          </w:p>
          <w:p w14:paraId="76E8844F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49" w:right="87"/>
              <w:jc w:val="center"/>
              <w:rPr>
                <w:rStyle w:val="212pt"/>
                <w:rFonts w:ascii="Times New Roman" w:hAnsi="Times New Roman" w:cs="Times New Roman"/>
              </w:rPr>
            </w:pPr>
          </w:p>
          <w:p w14:paraId="5128AFA0" w14:textId="50E6A1EC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49" w:right="87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Ошибочное применение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915AF7">
              <w:rPr>
                <w:rStyle w:val="212pt"/>
                <w:rFonts w:ascii="Times New Roman" w:hAnsi="Times New Roman" w:cs="Times New Roman"/>
              </w:rPr>
              <w:t>материального и (или) процессуального норм права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680BE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35" w:right="39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14:paraId="45E5B6EA" w14:textId="0B5DCD1D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35" w:right="39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Обеспечение ведения на официальном сайте Балахнинского муниципального округа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915AF7">
              <w:rPr>
                <w:rStyle w:val="212pt"/>
                <w:rFonts w:ascii="Times New Roman" w:hAnsi="Times New Roman" w:cs="Times New Roman"/>
              </w:rPr>
              <w:t>раздела «Оценка регулирующего воздействия»</w:t>
            </w:r>
          </w:p>
          <w:p w14:paraId="18A70A33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35" w:right="39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Усиление и совершенствование системы контроля за соблюдением антимонопольного законодательства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EFC2D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82" w:right="143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Остаточный риск сохраняется, но снижается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D264A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21" w:right="136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Незначительная</w:t>
            </w:r>
          </w:p>
        </w:tc>
      </w:tr>
      <w:tr w:rsidR="00915AF7" w:rsidRPr="00915AF7" w14:paraId="7785CF38" w14:textId="77777777" w:rsidTr="004252CA">
        <w:trPr>
          <w:trHeight w:hRule="exact" w:val="432"/>
          <w:jc w:val="center"/>
        </w:trPr>
        <w:tc>
          <w:tcPr>
            <w:tcW w:w="14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0FB80" w14:textId="60D697FF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21" w:right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AF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25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AF7">
              <w:rPr>
                <w:rFonts w:ascii="Times New Roman" w:hAnsi="Times New Roman" w:cs="Times New Roman"/>
                <w:b/>
                <w:sz w:val="24"/>
                <w:szCs w:val="24"/>
              </w:rPr>
              <w:t>сфере закупок товаров, работ,</w:t>
            </w:r>
            <w:r w:rsidR="00425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AF7">
              <w:rPr>
                <w:rFonts w:ascii="Times New Roman" w:hAnsi="Times New Roman" w:cs="Times New Roman"/>
                <w:b/>
                <w:sz w:val="24"/>
                <w:szCs w:val="24"/>
              </w:rPr>
              <w:t>услуг для</w:t>
            </w:r>
            <w:r w:rsidR="00425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AF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государственных и муниципальных нужд</w:t>
            </w:r>
          </w:p>
          <w:p w14:paraId="0E2D3639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21" w:right="13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AF7" w:rsidRPr="00915AF7" w14:paraId="12D7A31B" w14:textId="77777777" w:rsidTr="004252CA">
        <w:trPr>
          <w:trHeight w:hRule="exact" w:val="795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B7F1E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891C5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42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Высокий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CED50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10" w:right="115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14:paraId="7ECF3637" w14:textId="77777777" w:rsidR="004252CA" w:rsidRPr="004252CA" w:rsidRDefault="00915AF7" w:rsidP="004252CA">
            <w:pPr>
              <w:pStyle w:val="27"/>
              <w:shd w:val="clear" w:color="auto" w:fill="auto"/>
              <w:spacing w:before="0" w:after="0" w:line="240" w:lineRule="auto"/>
              <w:ind w:left="110" w:right="1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Ограничение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="004252CA" w:rsidRPr="004252CA">
              <w:rPr>
                <w:rStyle w:val="212pt"/>
                <w:rFonts w:ascii="Times New Roman" w:hAnsi="Times New Roman" w:cs="Times New Roman"/>
              </w:rPr>
              <w:t>количества участников закупки</w:t>
            </w:r>
          </w:p>
          <w:p w14:paraId="6E5FE88B" w14:textId="77777777" w:rsidR="004252CA" w:rsidRPr="004252CA" w:rsidRDefault="004252CA" w:rsidP="004252CA">
            <w:pPr>
              <w:pStyle w:val="27"/>
              <w:shd w:val="clear" w:color="auto" w:fill="auto"/>
              <w:spacing w:before="0" w:after="0" w:line="240" w:lineRule="auto"/>
              <w:ind w:left="110" w:right="1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52CA">
              <w:rPr>
                <w:rStyle w:val="212pt"/>
                <w:rFonts w:ascii="Times New Roman" w:hAnsi="Times New Roman" w:cs="Times New Roman"/>
              </w:rPr>
              <w:t xml:space="preserve">Совершение    комиссией  по  осуществлению закупок действий </w:t>
            </w:r>
          </w:p>
          <w:p w14:paraId="0928D921" w14:textId="70691368" w:rsidR="00915AF7" w:rsidRPr="00915AF7" w:rsidRDefault="004252CA" w:rsidP="004252CA">
            <w:pPr>
              <w:pStyle w:val="27"/>
              <w:shd w:val="clear" w:color="auto" w:fill="auto"/>
              <w:spacing w:before="0" w:after="0" w:line="240" w:lineRule="auto"/>
              <w:ind w:left="110" w:right="115"/>
              <w:jc w:val="center"/>
              <w:rPr>
                <w:rFonts w:ascii="Times New Roman" w:hAnsi="Times New Roman" w:cs="Times New Roman"/>
              </w:rPr>
            </w:pPr>
            <w:r w:rsidRPr="004252CA">
              <w:rPr>
                <w:rStyle w:val="212pt"/>
                <w:rFonts w:ascii="Times New Roman" w:hAnsi="Times New Roman" w:cs="Times New Roman"/>
              </w:rPr>
              <w:t>ограничивающих  конкуренцию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E69E7" w14:textId="130CC5EA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49" w:right="87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Недостаточный опыт применения законодательства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915AF7">
              <w:rPr>
                <w:rStyle w:val="212pt"/>
                <w:rFonts w:ascii="Times New Roman" w:hAnsi="Times New Roman" w:cs="Times New Roman"/>
              </w:rPr>
              <w:t>о контрактной системе в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915AF7">
              <w:rPr>
                <w:rStyle w:val="212pt"/>
                <w:rFonts w:ascii="Times New Roman" w:hAnsi="Times New Roman" w:cs="Times New Roman"/>
              </w:rPr>
              <w:t>сфере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915AF7">
              <w:rPr>
                <w:rStyle w:val="212pt"/>
                <w:rFonts w:ascii="Times New Roman" w:hAnsi="Times New Roman" w:cs="Times New Roman"/>
              </w:rPr>
              <w:t>закупок</w:t>
            </w:r>
          </w:p>
          <w:p w14:paraId="4CD1B57C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49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14CD9" w14:textId="54A5420C" w:rsidR="004252CA" w:rsidRPr="004252CA" w:rsidRDefault="00915AF7" w:rsidP="004252CA">
            <w:pPr>
              <w:pStyle w:val="27"/>
              <w:shd w:val="clear" w:color="auto" w:fill="auto"/>
              <w:spacing w:before="0" w:after="0" w:line="240" w:lineRule="auto"/>
              <w:ind w:left="149" w:right="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15AF7">
              <w:rPr>
                <w:rFonts w:ascii="Times New Roman" w:hAnsi="Times New Roman" w:cs="Times New Roman"/>
                <w:sz w:val="24"/>
                <w:szCs w:val="24"/>
              </w:rPr>
              <w:t>Включение в описание объекта закупки требований, влекущих за собой</w:t>
            </w:r>
            <w:r w:rsidR="00425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CA" w:rsidRPr="00425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ограничение участников закупки</w:t>
            </w:r>
          </w:p>
          <w:p w14:paraId="62E3A6CA" w14:textId="77777777" w:rsidR="004252CA" w:rsidRDefault="004252CA" w:rsidP="004252CA">
            <w:pPr>
              <w:pStyle w:val="27"/>
              <w:shd w:val="clear" w:color="auto" w:fill="auto"/>
              <w:spacing w:before="0" w:after="0" w:line="240" w:lineRule="auto"/>
              <w:ind w:left="149" w:right="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42C258C" w14:textId="70BCF725" w:rsidR="004252CA" w:rsidRPr="00915AF7" w:rsidRDefault="004252CA" w:rsidP="004252CA">
            <w:pPr>
              <w:pStyle w:val="27"/>
              <w:shd w:val="clear" w:color="auto" w:fill="auto"/>
              <w:spacing w:before="0" w:after="0" w:line="240" w:lineRule="auto"/>
              <w:ind w:left="149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Установление требований о предоставлении документов, не предусмотренных законодательством о закупках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BEBD5" w14:textId="77777777" w:rsidR="004252CA" w:rsidRPr="004252CA" w:rsidRDefault="00915AF7" w:rsidP="004252CA">
            <w:pPr>
              <w:pStyle w:val="27"/>
              <w:shd w:val="clear" w:color="auto" w:fill="auto"/>
              <w:spacing w:before="0" w:after="0" w:line="240" w:lineRule="auto"/>
              <w:ind w:left="35" w:righ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Регулярное обучение сотрудников, повышение профессиональной квалификации сотрудников в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915AF7">
              <w:rPr>
                <w:rStyle w:val="212pt"/>
                <w:rFonts w:ascii="Times New Roman" w:hAnsi="Times New Roman" w:cs="Times New Roman"/>
              </w:rPr>
              <w:t>сфере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915AF7">
              <w:rPr>
                <w:rStyle w:val="212pt"/>
                <w:rFonts w:ascii="Times New Roman" w:hAnsi="Times New Roman" w:cs="Times New Roman"/>
              </w:rPr>
              <w:t>закупок,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915AF7">
              <w:rPr>
                <w:rStyle w:val="212pt"/>
                <w:rFonts w:ascii="Times New Roman" w:hAnsi="Times New Roman" w:cs="Times New Roman"/>
              </w:rPr>
              <w:t>членов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915AF7">
              <w:rPr>
                <w:rStyle w:val="212pt"/>
                <w:rFonts w:ascii="Times New Roman" w:hAnsi="Times New Roman" w:cs="Times New Roman"/>
              </w:rPr>
              <w:t>комиссии по закупкам (самообразование, повышение</w:t>
            </w:r>
            <w:r w:rsidR="004252CA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="004252CA" w:rsidRPr="004252CA">
              <w:rPr>
                <w:rStyle w:val="212pt"/>
                <w:rFonts w:ascii="Times New Roman" w:hAnsi="Times New Roman" w:cs="Times New Roman"/>
              </w:rPr>
              <w:t>квалификации, образовательные мероприятия)</w:t>
            </w:r>
          </w:p>
          <w:p w14:paraId="52828AD1" w14:textId="77777777" w:rsidR="004252CA" w:rsidRDefault="004252CA" w:rsidP="004252CA">
            <w:pPr>
              <w:pStyle w:val="27"/>
              <w:shd w:val="clear" w:color="auto" w:fill="auto"/>
              <w:spacing w:before="0" w:after="0" w:line="240" w:lineRule="auto"/>
              <w:ind w:left="35" w:right="39"/>
              <w:jc w:val="center"/>
              <w:rPr>
                <w:rStyle w:val="212pt"/>
                <w:rFonts w:ascii="Times New Roman" w:hAnsi="Times New Roman" w:cs="Times New Roman"/>
              </w:rPr>
            </w:pPr>
          </w:p>
          <w:p w14:paraId="089301D4" w14:textId="77777777" w:rsidR="004252CA" w:rsidRPr="004252CA" w:rsidRDefault="004252CA" w:rsidP="004252CA">
            <w:pPr>
              <w:pStyle w:val="27"/>
              <w:shd w:val="clear" w:color="auto" w:fill="auto"/>
              <w:spacing w:before="0" w:after="0" w:line="240" w:lineRule="auto"/>
              <w:ind w:left="35" w:righ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52CA">
              <w:rPr>
                <w:rStyle w:val="212pt"/>
                <w:rFonts w:ascii="Times New Roman" w:hAnsi="Times New Roman" w:cs="Times New Roman"/>
              </w:rPr>
              <w:t>Изучение</w:t>
            </w:r>
          </w:p>
          <w:p w14:paraId="0AB9E561" w14:textId="77777777" w:rsidR="004252CA" w:rsidRPr="004252CA" w:rsidRDefault="004252CA" w:rsidP="004252CA">
            <w:pPr>
              <w:pStyle w:val="27"/>
              <w:shd w:val="clear" w:color="auto" w:fill="auto"/>
              <w:spacing w:before="0" w:after="0" w:line="240" w:lineRule="auto"/>
              <w:ind w:left="35" w:right="39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4252CA">
              <w:rPr>
                <w:rStyle w:val="212pt"/>
                <w:rFonts w:ascii="Times New Roman" w:hAnsi="Times New Roman" w:cs="Times New Roman"/>
              </w:rPr>
              <w:t>правоприменительной практики и мониторинг изменений законодательства</w:t>
            </w:r>
          </w:p>
          <w:p w14:paraId="4CA93AFC" w14:textId="18A17908" w:rsidR="00915AF7" w:rsidRPr="00915AF7" w:rsidRDefault="004252CA" w:rsidP="004252CA">
            <w:pPr>
              <w:pStyle w:val="27"/>
              <w:shd w:val="clear" w:color="auto" w:fill="auto"/>
              <w:spacing w:before="0" w:after="0" w:line="240" w:lineRule="auto"/>
              <w:ind w:left="35" w:right="39"/>
              <w:jc w:val="center"/>
              <w:rPr>
                <w:rFonts w:ascii="Times New Roman" w:hAnsi="Times New Roman" w:cs="Times New Roman"/>
              </w:rPr>
            </w:pPr>
            <w:r w:rsidRPr="004252CA">
              <w:rPr>
                <w:rStyle w:val="212pt"/>
                <w:rFonts w:ascii="Times New Roman" w:hAnsi="Times New Roman" w:cs="Times New Roman"/>
              </w:rPr>
              <w:t>Усиление контроля за соблюдением действующего законодательства в сфере закупок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8A832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82" w:right="143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Остаточный риск сохраняется, но снижается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9470D" w14:textId="77777777" w:rsidR="00915AF7" w:rsidRPr="00915AF7" w:rsidRDefault="00915AF7" w:rsidP="00915AF7">
            <w:pPr>
              <w:pStyle w:val="27"/>
              <w:shd w:val="clear" w:color="auto" w:fill="auto"/>
              <w:spacing w:before="0" w:after="0" w:line="240" w:lineRule="auto"/>
              <w:ind w:left="121" w:right="136"/>
              <w:jc w:val="center"/>
              <w:rPr>
                <w:rFonts w:ascii="Times New Roman" w:hAnsi="Times New Roman" w:cs="Times New Roman"/>
              </w:rPr>
            </w:pPr>
            <w:r w:rsidRPr="00915AF7">
              <w:rPr>
                <w:rStyle w:val="212pt"/>
                <w:rFonts w:ascii="Times New Roman" w:hAnsi="Times New Roman" w:cs="Times New Roman"/>
              </w:rPr>
              <w:t>Незначительная</w:t>
            </w:r>
          </w:p>
        </w:tc>
      </w:tr>
    </w:tbl>
    <w:p w14:paraId="39DF9F8E" w14:textId="77777777" w:rsidR="004252CA" w:rsidRDefault="004252CA" w:rsidP="00C347E4">
      <w:pPr>
        <w:autoSpaceDE w:val="0"/>
        <w:autoSpaceDN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  <w:sectPr w:rsidR="004252CA" w:rsidSect="00915AF7">
          <w:headerReference w:type="default" r:id="rId9"/>
          <w:headerReference w:type="first" r:id="rId10"/>
          <w:pgSz w:w="16838" w:h="11906" w:orient="landscape"/>
          <w:pgMar w:top="850" w:right="1134" w:bottom="1418" w:left="1134" w:header="708" w:footer="708" w:gutter="0"/>
          <w:pgNumType w:start="1" w:chapStyle="1"/>
          <w:cols w:space="708"/>
          <w:titlePg/>
          <w:docGrid w:linePitch="360"/>
        </w:sectPr>
      </w:pPr>
    </w:p>
    <w:p w14:paraId="6F4D9357" w14:textId="77777777" w:rsidR="004252CA" w:rsidRPr="00F05003" w:rsidRDefault="004252CA" w:rsidP="004252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500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E1A5264" w14:textId="0D66599B" w:rsidR="004252CA" w:rsidRPr="00F05003" w:rsidRDefault="004252CA" w:rsidP="004252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5003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03">
        <w:rPr>
          <w:rFonts w:ascii="Times New Roman" w:hAnsi="Times New Roman" w:cs="Times New Roman"/>
          <w:sz w:val="24"/>
          <w:szCs w:val="24"/>
        </w:rPr>
        <w:t>Администрации Балахнинского</w:t>
      </w:r>
    </w:p>
    <w:p w14:paraId="22D77B74" w14:textId="2A883BD1" w:rsidR="004252CA" w:rsidRPr="00F05003" w:rsidRDefault="004252CA" w:rsidP="004252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5003">
        <w:rPr>
          <w:rFonts w:ascii="Times New Roman" w:hAnsi="Times New Roman" w:cs="Times New Roman"/>
          <w:sz w:val="24"/>
          <w:szCs w:val="24"/>
        </w:rPr>
        <w:t>муниципального округа Нижегородской области</w:t>
      </w:r>
    </w:p>
    <w:p w14:paraId="3FA7E2AA" w14:textId="009B3021" w:rsidR="004252CA" w:rsidRPr="00F05003" w:rsidRDefault="004252CA" w:rsidP="004252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7844">
        <w:rPr>
          <w:rFonts w:ascii="Times New Roman" w:hAnsi="Times New Roman" w:cs="Times New Roman"/>
          <w:sz w:val="24"/>
          <w:szCs w:val="24"/>
        </w:rPr>
        <w:t>от 07.11.2024 № 2347</w:t>
      </w:r>
    </w:p>
    <w:p w14:paraId="31F8A1F6" w14:textId="77777777" w:rsidR="004252CA" w:rsidRDefault="004252CA" w:rsidP="00C347E4">
      <w:pPr>
        <w:autoSpaceDE w:val="0"/>
        <w:autoSpaceDN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14:paraId="53089059" w14:textId="29AB76C8" w:rsidR="009013F8" w:rsidRPr="004252CA" w:rsidRDefault="004252CA" w:rsidP="004252CA">
      <w:pPr>
        <w:autoSpaceDE w:val="0"/>
        <w:autoSpaceDN w:val="0"/>
        <w:adjustRightInd w:val="0"/>
        <w:spacing w:line="36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4252CA">
        <w:rPr>
          <w:rFonts w:eastAsia="Times New Roman"/>
          <w:b/>
          <w:szCs w:val="24"/>
          <w:lang w:eastAsia="ru-RU"/>
        </w:rPr>
        <w:t>План мероприятий по снижению  рисков нарушения антимонопольного законодательства на 2025 год</w:t>
      </w:r>
    </w:p>
    <w:p w14:paraId="2A6A22E6" w14:textId="77777777" w:rsidR="004252CA" w:rsidRDefault="004252CA" w:rsidP="00C347E4">
      <w:pPr>
        <w:autoSpaceDE w:val="0"/>
        <w:autoSpaceDN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tbl>
      <w:tblPr>
        <w:tblW w:w="14588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40"/>
        <w:gridCol w:w="2586"/>
        <w:gridCol w:w="4238"/>
        <w:gridCol w:w="3017"/>
        <w:gridCol w:w="1562"/>
        <w:gridCol w:w="2345"/>
      </w:tblGrid>
      <w:tr w:rsidR="00A6584D" w:rsidRPr="00A6584D" w14:paraId="50F0FD85" w14:textId="77777777" w:rsidTr="00A6584D">
        <w:trPr>
          <w:trHeight w:hRule="exact" w:val="656"/>
          <w:jc w:val="center"/>
        </w:trPr>
        <w:tc>
          <w:tcPr>
            <w:tcW w:w="840" w:type="dxa"/>
            <w:shd w:val="clear" w:color="auto" w:fill="FFFFFF"/>
            <w:vAlign w:val="bottom"/>
          </w:tcPr>
          <w:p w14:paraId="15221D4C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№</w:t>
            </w:r>
          </w:p>
          <w:p w14:paraId="58CAB8E3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п/п</w:t>
            </w:r>
          </w:p>
        </w:tc>
        <w:tc>
          <w:tcPr>
            <w:tcW w:w="2586" w:type="dxa"/>
            <w:shd w:val="clear" w:color="auto" w:fill="FFFFFF"/>
          </w:tcPr>
          <w:p w14:paraId="7423B2DB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Описание рисков</w:t>
            </w:r>
          </w:p>
        </w:tc>
        <w:tc>
          <w:tcPr>
            <w:tcW w:w="4238" w:type="dxa"/>
            <w:shd w:val="clear" w:color="auto" w:fill="FFFFFF"/>
          </w:tcPr>
          <w:p w14:paraId="189165F6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1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017" w:type="dxa"/>
            <w:shd w:val="clear" w:color="auto" w:fill="FFFFFF"/>
          </w:tcPr>
          <w:p w14:paraId="1D013F26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62" w:type="dxa"/>
            <w:shd w:val="clear" w:color="auto" w:fill="FFFFFF"/>
          </w:tcPr>
          <w:p w14:paraId="53E051CC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91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45" w:type="dxa"/>
            <w:shd w:val="clear" w:color="auto" w:fill="FFFFFF"/>
          </w:tcPr>
          <w:p w14:paraId="5FAED367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89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A6584D" w:rsidRPr="00A6584D" w14:paraId="0E4F2158" w14:textId="77777777" w:rsidTr="00A6584D">
        <w:trPr>
          <w:trHeight w:hRule="exact" w:val="478"/>
          <w:jc w:val="center"/>
        </w:trPr>
        <w:tc>
          <w:tcPr>
            <w:tcW w:w="14588" w:type="dxa"/>
            <w:gridSpan w:val="6"/>
            <w:shd w:val="clear" w:color="auto" w:fill="FFFFFF"/>
          </w:tcPr>
          <w:p w14:paraId="483AAEC2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89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3"/>
                <w:rFonts w:ascii="Times New Roman" w:hAnsi="Times New Roman" w:cs="Times New Roman"/>
              </w:rPr>
              <w:t>1. В сфере формирования документов стратегического планирования</w:t>
            </w:r>
          </w:p>
        </w:tc>
      </w:tr>
      <w:tr w:rsidR="00A6584D" w:rsidRPr="00A6584D" w14:paraId="33350612" w14:textId="77777777" w:rsidTr="00A6584D">
        <w:trPr>
          <w:trHeight w:hRule="exact" w:val="2748"/>
          <w:jc w:val="center"/>
        </w:trPr>
        <w:tc>
          <w:tcPr>
            <w:tcW w:w="840" w:type="dxa"/>
            <w:shd w:val="clear" w:color="auto" w:fill="FFFFFF"/>
          </w:tcPr>
          <w:p w14:paraId="0CBEF0C8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1.1</w:t>
            </w:r>
          </w:p>
        </w:tc>
        <w:tc>
          <w:tcPr>
            <w:tcW w:w="2586" w:type="dxa"/>
            <w:vMerge w:val="restart"/>
            <w:shd w:val="clear" w:color="auto" w:fill="FFFFFF"/>
          </w:tcPr>
          <w:p w14:paraId="1427EAE5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0" w:right="5" w:firstLine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Разработка документов системы стратегического планирования и  НПА с нарушениями антимонопольного законодательства, содержащими дискриминационные условия для хозяйствующих - субъектов</w:t>
            </w:r>
          </w:p>
        </w:tc>
        <w:tc>
          <w:tcPr>
            <w:tcW w:w="4238" w:type="dxa"/>
            <w:shd w:val="clear" w:color="auto" w:fill="FFFFFF"/>
          </w:tcPr>
          <w:p w14:paraId="5A6B1C8B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1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Соблюдение административных регламентов, порядков и положений при разработке проектов НПА</w:t>
            </w:r>
          </w:p>
        </w:tc>
        <w:tc>
          <w:tcPr>
            <w:tcW w:w="3017" w:type="dxa"/>
            <w:shd w:val="clear" w:color="auto" w:fill="FFFFFF"/>
          </w:tcPr>
          <w:p w14:paraId="5A32FA07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Отсутствие в документах стратегического планирования положений, создающих дискриминационные условия для</w:t>
            </w:r>
          </w:p>
          <w:p w14:paraId="70AED035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хозяйствующих субъектов</w:t>
            </w:r>
          </w:p>
        </w:tc>
        <w:tc>
          <w:tcPr>
            <w:tcW w:w="1562" w:type="dxa"/>
            <w:shd w:val="clear" w:color="auto" w:fill="FFFFFF"/>
          </w:tcPr>
          <w:p w14:paraId="7D767025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91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2345" w:type="dxa"/>
            <w:shd w:val="clear" w:color="auto" w:fill="FFFFFF"/>
            <w:vAlign w:val="bottom"/>
          </w:tcPr>
          <w:p w14:paraId="43B9350D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89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Структурные подразделения Администрации Балахнинского муниципального округа, ответственные за разработку документов стратегического планирования</w:t>
            </w:r>
          </w:p>
        </w:tc>
      </w:tr>
      <w:tr w:rsidR="00A6584D" w:rsidRPr="00A6584D" w14:paraId="0B42C5CC" w14:textId="77777777" w:rsidTr="00A6584D">
        <w:trPr>
          <w:trHeight w:hRule="exact" w:val="1696"/>
          <w:jc w:val="center"/>
        </w:trPr>
        <w:tc>
          <w:tcPr>
            <w:tcW w:w="840" w:type="dxa"/>
            <w:shd w:val="clear" w:color="auto" w:fill="FFFFFF"/>
          </w:tcPr>
          <w:p w14:paraId="1436ABEC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1.2</w:t>
            </w:r>
          </w:p>
        </w:tc>
        <w:tc>
          <w:tcPr>
            <w:tcW w:w="2586" w:type="dxa"/>
            <w:vMerge/>
            <w:shd w:val="clear" w:color="auto" w:fill="FFFFFF"/>
          </w:tcPr>
          <w:p w14:paraId="106E25E0" w14:textId="77777777" w:rsidR="00A6584D" w:rsidRPr="00A6584D" w:rsidRDefault="00A6584D" w:rsidP="00A6584D">
            <w:pPr>
              <w:ind w:left="10" w:right="5"/>
              <w:jc w:val="center"/>
              <w:rPr>
                <w:szCs w:val="24"/>
              </w:rPr>
            </w:pPr>
          </w:p>
        </w:tc>
        <w:tc>
          <w:tcPr>
            <w:tcW w:w="4238" w:type="dxa"/>
            <w:shd w:val="clear" w:color="auto" w:fill="FFFFFF"/>
            <w:vAlign w:val="bottom"/>
          </w:tcPr>
          <w:p w14:paraId="6CAFAB22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17" w:right="13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14:paraId="2A45305D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1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3017" w:type="dxa"/>
            <w:shd w:val="clear" w:color="auto" w:fill="FFFFFF"/>
          </w:tcPr>
          <w:p w14:paraId="3B5D20C0" w14:textId="0DC1A356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Выявление и снижение рисков, недопущение нарушений антимонопольного</w:t>
            </w:r>
          </w:p>
          <w:p w14:paraId="7EBE2BBB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законодательства</w:t>
            </w:r>
          </w:p>
        </w:tc>
        <w:tc>
          <w:tcPr>
            <w:tcW w:w="1562" w:type="dxa"/>
            <w:shd w:val="clear" w:color="auto" w:fill="FFFFFF"/>
          </w:tcPr>
          <w:p w14:paraId="60A097CC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91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2345" w:type="dxa"/>
            <w:shd w:val="clear" w:color="auto" w:fill="FFFFFF"/>
            <w:vAlign w:val="bottom"/>
          </w:tcPr>
          <w:p w14:paraId="050B4BB1" w14:textId="7715A3A8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89" w:right="110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 xml:space="preserve">Правовой комитет </w:t>
            </w:r>
            <w:r w:rsidRPr="00A65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Балахнинского муниципального округа</w:t>
            </w:r>
          </w:p>
          <w:p w14:paraId="1D637316" w14:textId="20F7E7EC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89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84D" w:rsidRPr="00A6584D" w14:paraId="5B25C40A" w14:textId="77777777" w:rsidTr="00A6584D">
        <w:trPr>
          <w:trHeight w:hRule="exact" w:val="2996"/>
          <w:jc w:val="center"/>
        </w:trPr>
        <w:tc>
          <w:tcPr>
            <w:tcW w:w="840" w:type="dxa"/>
            <w:shd w:val="clear" w:color="auto" w:fill="FFFFFF"/>
          </w:tcPr>
          <w:p w14:paraId="2A012CDD" w14:textId="740FC616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  <w:lang w:val="en-US"/>
              </w:rPr>
              <w:lastRenderedPageBreak/>
              <w:t>1.3</w:t>
            </w:r>
          </w:p>
        </w:tc>
        <w:tc>
          <w:tcPr>
            <w:tcW w:w="2586" w:type="dxa"/>
            <w:shd w:val="clear" w:color="auto" w:fill="FFFFFF"/>
          </w:tcPr>
          <w:p w14:paraId="0A22E2E5" w14:textId="77777777" w:rsidR="00A6584D" w:rsidRPr="00A6584D" w:rsidRDefault="00A6584D" w:rsidP="00A6584D">
            <w:pPr>
              <w:ind w:left="10" w:right="5"/>
              <w:jc w:val="center"/>
              <w:rPr>
                <w:szCs w:val="24"/>
              </w:rPr>
            </w:pPr>
          </w:p>
        </w:tc>
        <w:tc>
          <w:tcPr>
            <w:tcW w:w="4238" w:type="dxa"/>
            <w:shd w:val="clear" w:color="auto" w:fill="FFFFFF"/>
          </w:tcPr>
          <w:p w14:paraId="77671F0A" w14:textId="1C2F395F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17" w:right="13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Проведение заседаний комиссий по вопросам разработки и исполнения документов стратегического планирования</w:t>
            </w:r>
          </w:p>
        </w:tc>
        <w:tc>
          <w:tcPr>
            <w:tcW w:w="3017" w:type="dxa"/>
            <w:shd w:val="clear" w:color="auto" w:fill="FFFFFF"/>
          </w:tcPr>
          <w:p w14:paraId="4A1EB725" w14:textId="5AB8C342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Повышение осведомлённости сотрудников о положениях законодательства в сфере стратегического планирования</w:t>
            </w:r>
          </w:p>
        </w:tc>
        <w:tc>
          <w:tcPr>
            <w:tcW w:w="1562" w:type="dxa"/>
            <w:shd w:val="clear" w:color="auto" w:fill="FFFFFF"/>
          </w:tcPr>
          <w:p w14:paraId="1764F1AB" w14:textId="7D279B55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91" w:right="175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2345" w:type="dxa"/>
            <w:shd w:val="clear" w:color="auto" w:fill="FFFFFF"/>
            <w:vAlign w:val="bottom"/>
          </w:tcPr>
          <w:p w14:paraId="1697DDD4" w14:textId="6188FE15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89" w:right="110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 xml:space="preserve">Структурные подразделения </w:t>
            </w:r>
            <w:r w:rsidRPr="00A65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Балахнинского муниципального округа</w:t>
            </w:r>
            <w:r w:rsidRPr="00A6584D">
              <w:rPr>
                <w:rStyle w:val="212pt"/>
                <w:rFonts w:ascii="Times New Roman" w:hAnsi="Times New Roman" w:cs="Times New Roman"/>
              </w:rPr>
              <w:t>, ответственные за разработку документов стратегического планирования</w:t>
            </w:r>
          </w:p>
        </w:tc>
      </w:tr>
      <w:tr w:rsidR="00A6584D" w:rsidRPr="00A6584D" w14:paraId="17D63B1E" w14:textId="77777777" w:rsidTr="00A6584D">
        <w:trPr>
          <w:trHeight w:hRule="exact" w:val="430"/>
          <w:jc w:val="center"/>
        </w:trPr>
        <w:tc>
          <w:tcPr>
            <w:tcW w:w="14588" w:type="dxa"/>
            <w:gridSpan w:val="6"/>
            <w:shd w:val="clear" w:color="auto" w:fill="FFFFFF"/>
          </w:tcPr>
          <w:p w14:paraId="2F9F92FA" w14:textId="220A46A9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89" w:right="110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3"/>
                <w:rFonts w:ascii="Times New Roman" w:hAnsi="Times New Roman" w:cs="Times New Roman"/>
              </w:rPr>
              <w:t>2. В сфере инвестиционной и предпринимательской деятельности</w:t>
            </w:r>
          </w:p>
        </w:tc>
      </w:tr>
      <w:tr w:rsidR="00A6584D" w:rsidRPr="00A6584D" w14:paraId="15F08EE0" w14:textId="77777777" w:rsidTr="00A6584D">
        <w:trPr>
          <w:trHeight w:hRule="exact" w:val="368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73C18" w14:textId="48A5DA6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Style w:val="a8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2.1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90BC1" w14:textId="1DB86FA5" w:rsidR="00A6584D" w:rsidRPr="00A6584D" w:rsidRDefault="00A6584D" w:rsidP="00A6584D">
            <w:pPr>
              <w:ind w:left="10" w:right="5" w:firstLine="0"/>
              <w:jc w:val="center"/>
              <w:rPr>
                <w:szCs w:val="24"/>
              </w:rPr>
            </w:pPr>
            <w:r w:rsidRPr="00A6584D">
              <w:rPr>
                <w:rStyle w:val="212pt"/>
              </w:rPr>
              <w:t>Разработка НП</w:t>
            </w:r>
            <w:r w:rsidRPr="00A6584D">
              <w:rPr>
                <w:rStyle w:val="212pt"/>
                <w:lang w:val="en-US"/>
              </w:rPr>
              <w:t>A</w:t>
            </w:r>
            <w:r w:rsidRPr="00A6584D">
              <w:rPr>
                <w:rStyle w:val="212pt"/>
              </w:rPr>
              <w:t>, затрагивающих вопросы инвестиционной и предпринимательской  деятельности 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4DD4F" w14:textId="479FD8B2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17" w:right="13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AE336" w14:textId="5A48F0A4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Выявление и снижение рисков, предотвращение и (или) выявление нарушений, вводящих избыточные обязанности, запреты и ограничения для хозяйствующих субъектов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14:paraId="3DEB5B58" w14:textId="3B44A476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91" w:right="175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2345" w:type="dxa"/>
            <w:shd w:val="clear" w:color="auto" w:fill="FFFFFF"/>
          </w:tcPr>
          <w:p w14:paraId="0E9C069C" w14:textId="0BC0C88B" w:rsidR="00A6584D" w:rsidRPr="00A6584D" w:rsidRDefault="00A6584D" w:rsidP="00A6584D">
            <w:pPr>
              <w:pStyle w:val="27"/>
              <w:shd w:val="clear" w:color="auto" w:fill="auto"/>
              <w:spacing w:before="0" w:after="0" w:line="274" w:lineRule="exact"/>
              <w:ind w:left="89" w:right="110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подразделения Администрации Балахнинского муниципального округа, участвующие в реализации регулирования, являющиеся разработчиками проекта акта или действующего акта</w:t>
            </w:r>
          </w:p>
          <w:p w14:paraId="091C18D0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89" w:right="110"/>
              <w:jc w:val="center"/>
              <w:rPr>
                <w:rStyle w:val="212pt"/>
                <w:rFonts w:ascii="Times New Roman" w:hAnsi="Times New Roman" w:cs="Times New Roman"/>
              </w:rPr>
            </w:pPr>
          </w:p>
        </w:tc>
      </w:tr>
      <w:tr w:rsidR="00A6584D" w:rsidRPr="00A6584D" w14:paraId="3CE614CF" w14:textId="77777777" w:rsidTr="00A6584D">
        <w:trPr>
          <w:trHeight w:hRule="exact" w:val="285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4CE9D" w14:textId="61B92B4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71B4D" w14:textId="77777777" w:rsidR="00A6584D" w:rsidRPr="00A6584D" w:rsidRDefault="00A6584D" w:rsidP="00A6584D">
            <w:pPr>
              <w:ind w:left="10" w:right="5"/>
              <w:jc w:val="center"/>
              <w:rPr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F30A4" w14:textId="17BE3A15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1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Обеспечение ведения на официальном сайте Балахнинского муниципального района разделов «Оценка регулирующего воздействия», «Предпринимательство», «Развитие конкуренции»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CAFD" w14:textId="77C6F1B2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Обеспечение открытости и доступности информации о  НПА в сфере инвестиционной и предпринимательской деятельности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14:paraId="36ED035C" w14:textId="2633311A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91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2345" w:type="dxa"/>
            <w:shd w:val="clear" w:color="auto" w:fill="FFFFFF"/>
          </w:tcPr>
          <w:p w14:paraId="3DA6A3C8" w14:textId="3618F902" w:rsidR="00A6584D" w:rsidRPr="00A6584D" w:rsidRDefault="00A6584D" w:rsidP="00A6584D">
            <w:pPr>
              <w:spacing w:line="274" w:lineRule="exact"/>
              <w:ind w:left="89" w:right="110"/>
              <w:jc w:val="center"/>
              <w:rPr>
                <w:szCs w:val="24"/>
              </w:rPr>
            </w:pPr>
            <w:r w:rsidRPr="00A6584D">
              <w:rPr>
                <w:rStyle w:val="212pt"/>
              </w:rPr>
              <w:t>Управление  экономики, предпринимательства и инвестиционной политики Администрации  Балахнинского муниципального округа</w:t>
            </w:r>
          </w:p>
        </w:tc>
      </w:tr>
      <w:tr w:rsidR="00A6584D" w:rsidRPr="00A6584D" w14:paraId="13942400" w14:textId="77777777" w:rsidTr="00A6584D">
        <w:trPr>
          <w:trHeight w:hRule="exact" w:val="354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E72B3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2F274" w14:textId="77777777" w:rsidR="00A6584D" w:rsidRPr="00A6584D" w:rsidRDefault="00A6584D" w:rsidP="00A6584D">
            <w:pPr>
              <w:ind w:left="10" w:right="5"/>
              <w:jc w:val="center"/>
              <w:rPr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132C" w14:textId="3535D8DC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1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Усиление и совершенствование системы контроля за соблюдением антимонопольного законодательства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46FC" w14:textId="58A3DA3B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Выявление и снижение рисков, недопущение нарушений антимонопольного</w:t>
            </w:r>
          </w:p>
          <w:p w14:paraId="5DA86051" w14:textId="7729344B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законодательства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14:paraId="1F83DB65" w14:textId="02C8201B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91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2345" w:type="dxa"/>
            <w:shd w:val="clear" w:color="auto" w:fill="FFFFFF"/>
          </w:tcPr>
          <w:p w14:paraId="38852502" w14:textId="6FCD15C2" w:rsidR="00A6584D" w:rsidRPr="00A6584D" w:rsidRDefault="00A6584D" w:rsidP="00A6584D">
            <w:pPr>
              <w:pStyle w:val="27"/>
              <w:shd w:val="clear" w:color="auto" w:fill="auto"/>
              <w:spacing w:before="0" w:after="0" w:line="274" w:lineRule="exact"/>
              <w:ind w:left="89" w:right="110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подразделения Администрации Балахнинского муниципального округа, участвующие в реализации регулирования, являющиеся разработчиками проекта акта или действующего акта</w:t>
            </w:r>
          </w:p>
          <w:p w14:paraId="20846E9C" w14:textId="77777777" w:rsidR="00A6584D" w:rsidRPr="00A6584D" w:rsidRDefault="00A6584D" w:rsidP="00A6584D">
            <w:pPr>
              <w:spacing w:line="274" w:lineRule="exact"/>
              <w:ind w:left="89" w:right="110"/>
              <w:jc w:val="center"/>
              <w:rPr>
                <w:szCs w:val="24"/>
              </w:rPr>
            </w:pPr>
          </w:p>
        </w:tc>
      </w:tr>
      <w:tr w:rsidR="00A6584D" w:rsidRPr="00A6584D" w14:paraId="79FC09F8" w14:textId="77777777" w:rsidTr="00A6584D">
        <w:trPr>
          <w:trHeight w:hRule="exact" w:val="423"/>
          <w:jc w:val="center"/>
        </w:trPr>
        <w:tc>
          <w:tcPr>
            <w:tcW w:w="14588" w:type="dxa"/>
            <w:gridSpan w:val="6"/>
            <w:shd w:val="clear" w:color="auto" w:fill="FFFFFF"/>
            <w:vAlign w:val="bottom"/>
          </w:tcPr>
          <w:p w14:paraId="368DD39D" w14:textId="5FCE91F2" w:rsidR="00A6584D" w:rsidRPr="00A6584D" w:rsidRDefault="00A6584D" w:rsidP="00A6584D">
            <w:pPr>
              <w:pStyle w:val="27"/>
              <w:shd w:val="clear" w:color="auto" w:fill="auto"/>
              <w:spacing w:before="0" w:after="0" w:line="274" w:lineRule="exact"/>
              <w:ind w:left="89"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  <w:b/>
              </w:rPr>
              <w:t>3.</w:t>
            </w:r>
            <w:r w:rsidRPr="00A6584D"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A6584D">
              <w:rPr>
                <w:rStyle w:val="212pt3"/>
                <w:rFonts w:ascii="Times New Roman" w:hAnsi="Times New Roman" w:cs="Times New Roman"/>
              </w:rPr>
              <w:t>В сфере закупок товаров, работ, услуг дли обеспечении государственных и муниципальных нужд</w:t>
            </w:r>
          </w:p>
        </w:tc>
      </w:tr>
      <w:tr w:rsidR="00A6584D" w:rsidRPr="00A6584D" w14:paraId="2C45B146" w14:textId="77777777" w:rsidTr="004D266D">
        <w:trPr>
          <w:trHeight w:hRule="exact" w:val="2855"/>
          <w:jc w:val="center"/>
        </w:trPr>
        <w:tc>
          <w:tcPr>
            <w:tcW w:w="840" w:type="dxa"/>
            <w:shd w:val="clear" w:color="auto" w:fill="FFFFFF"/>
          </w:tcPr>
          <w:p w14:paraId="41D8AFE3" w14:textId="5D855B28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586" w:type="dxa"/>
            <w:vMerge w:val="restart"/>
            <w:shd w:val="clear" w:color="auto" w:fill="FFFFFF"/>
          </w:tcPr>
          <w:p w14:paraId="2017F090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78" w:lineRule="exact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Нарушение антимонопольного законодательства</w:t>
            </w:r>
          </w:p>
          <w:p w14:paraId="51748CD8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280" w:line="274" w:lineRule="exact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при осуществлении закупок товаров, работ, услуг для обеспечения муниципальных нужд</w:t>
            </w:r>
          </w:p>
          <w:p w14:paraId="7F4C0DB6" w14:textId="77777777" w:rsidR="00A6584D" w:rsidRPr="00A6584D" w:rsidRDefault="00A6584D" w:rsidP="00A6584D">
            <w:pPr>
              <w:pStyle w:val="27"/>
              <w:shd w:val="clear" w:color="auto" w:fill="auto"/>
              <w:spacing w:before="280" w:after="280" w:line="278" w:lineRule="exact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Ограничение количества участников закупки</w:t>
            </w:r>
          </w:p>
          <w:p w14:paraId="30E062D8" w14:textId="23B6F7C1" w:rsidR="00A6584D" w:rsidRPr="00A6584D" w:rsidRDefault="00A6584D" w:rsidP="00A6584D">
            <w:pPr>
              <w:ind w:left="10" w:right="5" w:firstLine="0"/>
              <w:jc w:val="center"/>
              <w:rPr>
                <w:szCs w:val="24"/>
              </w:rPr>
            </w:pPr>
            <w:r w:rsidRPr="00A6584D">
              <w:rPr>
                <w:szCs w:val="24"/>
              </w:rPr>
              <w:t>Совершение комиссией по осуществлению закупок действий ограничивающих конкуренцию</w:t>
            </w:r>
          </w:p>
        </w:tc>
        <w:tc>
          <w:tcPr>
            <w:tcW w:w="4238" w:type="dxa"/>
            <w:shd w:val="clear" w:color="auto" w:fill="FFFFFF"/>
          </w:tcPr>
          <w:p w14:paraId="1F38656D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74" w:lineRule="exact"/>
              <w:ind w:left="11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Изучение</w:t>
            </w:r>
          </w:p>
          <w:p w14:paraId="5197C623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74" w:lineRule="exact"/>
              <w:ind w:left="117" w:right="13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правоприменительной практики и мониторинг изменений законодательства</w:t>
            </w:r>
          </w:p>
          <w:p w14:paraId="469907C1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74" w:lineRule="exact"/>
              <w:ind w:left="117" w:right="132"/>
              <w:jc w:val="center"/>
              <w:rPr>
                <w:rStyle w:val="212pt"/>
                <w:rFonts w:ascii="Times New Roman" w:hAnsi="Times New Roman" w:cs="Times New Roman"/>
              </w:rPr>
            </w:pPr>
          </w:p>
          <w:p w14:paraId="2B3CC7F8" w14:textId="77CB452F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17" w:right="13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Усиление контроля за соблюдением действующего законодательства в сфере закупок</w:t>
            </w:r>
          </w:p>
        </w:tc>
        <w:tc>
          <w:tcPr>
            <w:tcW w:w="3017" w:type="dxa"/>
            <w:shd w:val="clear" w:color="auto" w:fill="FFFFFF"/>
          </w:tcPr>
          <w:p w14:paraId="55D04438" w14:textId="2DDD0C23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Соблюдение требований при проведении закупок</w:t>
            </w:r>
          </w:p>
        </w:tc>
        <w:tc>
          <w:tcPr>
            <w:tcW w:w="1562" w:type="dxa"/>
            <w:shd w:val="clear" w:color="auto" w:fill="FFFFFF"/>
          </w:tcPr>
          <w:p w14:paraId="31D5EAFE" w14:textId="4D87CC01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91" w:right="175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2345" w:type="dxa"/>
            <w:shd w:val="clear" w:color="auto" w:fill="FFFFFF"/>
            <w:vAlign w:val="bottom"/>
          </w:tcPr>
          <w:p w14:paraId="29261253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89" w:right="110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Отдел формирования и размещения муниципального заказа , правовой комитет Администрации</w:t>
            </w:r>
          </w:p>
          <w:p w14:paraId="76A4D329" w14:textId="3499CB3A" w:rsidR="00A6584D" w:rsidRPr="00A6584D" w:rsidRDefault="00A6584D" w:rsidP="00A6584D">
            <w:pPr>
              <w:pStyle w:val="27"/>
              <w:shd w:val="clear" w:color="auto" w:fill="auto"/>
              <w:spacing w:before="0" w:after="0" w:line="274" w:lineRule="exact"/>
              <w:ind w:left="89"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Балахнинского муниципального округа</w:t>
            </w:r>
          </w:p>
        </w:tc>
      </w:tr>
      <w:tr w:rsidR="00A6584D" w:rsidRPr="00A6584D" w14:paraId="3248E543" w14:textId="77777777" w:rsidTr="004D266D">
        <w:trPr>
          <w:trHeight w:hRule="exact" w:val="2540"/>
          <w:jc w:val="center"/>
        </w:trPr>
        <w:tc>
          <w:tcPr>
            <w:tcW w:w="840" w:type="dxa"/>
            <w:shd w:val="clear" w:color="auto" w:fill="FFFFFF"/>
          </w:tcPr>
          <w:p w14:paraId="7F6845A0" w14:textId="6006F9F3" w:rsidR="00A6584D" w:rsidRPr="00A6584D" w:rsidRDefault="00A6584D" w:rsidP="00A6584D">
            <w:pPr>
              <w:spacing w:line="278" w:lineRule="exact"/>
              <w:jc w:val="center"/>
              <w:rPr>
                <w:szCs w:val="24"/>
              </w:rPr>
            </w:pPr>
            <w:r w:rsidRPr="00A6584D">
              <w:rPr>
                <w:rStyle w:val="212pt"/>
              </w:rPr>
              <w:t>3.2</w:t>
            </w:r>
          </w:p>
        </w:tc>
        <w:tc>
          <w:tcPr>
            <w:tcW w:w="2586" w:type="dxa"/>
            <w:vMerge/>
            <w:shd w:val="clear" w:color="auto" w:fill="FFFFFF"/>
          </w:tcPr>
          <w:p w14:paraId="5E43FAEB" w14:textId="05E0AF56" w:rsidR="00A6584D" w:rsidRPr="00A6584D" w:rsidRDefault="00A6584D" w:rsidP="00A6584D">
            <w:pPr>
              <w:spacing w:line="274" w:lineRule="exact"/>
              <w:ind w:left="10" w:right="5"/>
              <w:jc w:val="center"/>
              <w:rPr>
                <w:szCs w:val="24"/>
              </w:rPr>
            </w:pPr>
          </w:p>
        </w:tc>
        <w:tc>
          <w:tcPr>
            <w:tcW w:w="4238" w:type="dxa"/>
            <w:shd w:val="clear" w:color="auto" w:fill="FFFFFF"/>
          </w:tcPr>
          <w:p w14:paraId="4C2A269E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74" w:lineRule="exact"/>
              <w:ind w:left="117" w:right="13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 xml:space="preserve">Регулярное обучение сотрудников, повышение профессиональной квалификации сотрудников  в  сфере  закупок,  членов  комиссии по закупкам, </w:t>
            </w:r>
          </w:p>
          <w:p w14:paraId="08184FB2" w14:textId="77777777" w:rsidR="00A6584D" w:rsidRPr="00A6584D" w:rsidRDefault="00A6584D" w:rsidP="00A6584D">
            <w:pPr>
              <w:pStyle w:val="27"/>
              <w:shd w:val="clear" w:color="auto" w:fill="auto"/>
              <w:spacing w:before="0" w:after="0" w:line="274" w:lineRule="exact"/>
              <w:ind w:left="117" w:right="132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(самообразование, повышение квалификации</w:t>
            </w:r>
          </w:p>
          <w:p w14:paraId="70FDE382" w14:textId="27B62067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1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 xml:space="preserve">образовательные  мероприятия) </w:t>
            </w:r>
          </w:p>
        </w:tc>
        <w:tc>
          <w:tcPr>
            <w:tcW w:w="3017" w:type="dxa"/>
            <w:shd w:val="clear" w:color="auto" w:fill="FFFFFF"/>
          </w:tcPr>
          <w:p w14:paraId="570DDFC5" w14:textId="14275C94" w:rsidR="00A6584D" w:rsidRPr="00A6584D" w:rsidRDefault="00A6584D" w:rsidP="00A6584D">
            <w:pPr>
              <w:pStyle w:val="27"/>
              <w:shd w:val="clear" w:color="auto" w:fill="auto"/>
              <w:spacing w:before="0" w:after="0" w:line="240" w:lineRule="auto"/>
              <w:ind w:left="132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Повышение уровня правовой грамотности сотрудников в сфере закупочной деятельности</w:t>
            </w:r>
          </w:p>
        </w:tc>
        <w:tc>
          <w:tcPr>
            <w:tcW w:w="1562" w:type="dxa"/>
            <w:shd w:val="clear" w:color="auto" w:fill="FFFFFF"/>
          </w:tcPr>
          <w:p w14:paraId="4A4E77D6" w14:textId="6DAA0E7D" w:rsidR="00A6584D" w:rsidRPr="00A6584D" w:rsidRDefault="00A6584D" w:rsidP="00A6584D">
            <w:pPr>
              <w:ind w:left="91" w:right="175"/>
              <w:jc w:val="center"/>
              <w:rPr>
                <w:szCs w:val="24"/>
              </w:rPr>
            </w:pPr>
            <w:r w:rsidRPr="00A6584D">
              <w:rPr>
                <w:rStyle w:val="212pt"/>
              </w:rPr>
              <w:t>2025 г.</w:t>
            </w:r>
          </w:p>
        </w:tc>
        <w:tc>
          <w:tcPr>
            <w:tcW w:w="2345" w:type="dxa"/>
            <w:shd w:val="clear" w:color="auto" w:fill="FFFFFF"/>
          </w:tcPr>
          <w:p w14:paraId="0B163814" w14:textId="77777777" w:rsidR="00A6584D" w:rsidRPr="00A6584D" w:rsidRDefault="00A6584D" w:rsidP="00A6584D">
            <w:pPr>
              <w:pStyle w:val="27"/>
              <w:spacing w:before="0" w:after="0" w:line="240" w:lineRule="auto"/>
              <w:ind w:left="89" w:right="110"/>
              <w:jc w:val="center"/>
              <w:rPr>
                <w:rStyle w:val="212pt"/>
                <w:rFonts w:ascii="Times New Roman" w:hAnsi="Times New Roman" w:cs="Times New Roman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Отдел формирования и размещения муниципального заказа Администрации</w:t>
            </w:r>
          </w:p>
          <w:p w14:paraId="3F581C77" w14:textId="6E722018" w:rsidR="00A6584D" w:rsidRPr="00A6584D" w:rsidRDefault="00A6584D" w:rsidP="00A6584D">
            <w:pPr>
              <w:pStyle w:val="27"/>
              <w:shd w:val="clear" w:color="auto" w:fill="auto"/>
              <w:spacing w:before="0" w:after="0" w:line="274" w:lineRule="exact"/>
              <w:ind w:left="89"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84D">
              <w:rPr>
                <w:rStyle w:val="212pt"/>
                <w:rFonts w:ascii="Times New Roman" w:hAnsi="Times New Roman" w:cs="Times New Roman"/>
              </w:rPr>
              <w:t>Балахнинского муниципального округа</w:t>
            </w:r>
          </w:p>
        </w:tc>
      </w:tr>
    </w:tbl>
    <w:p w14:paraId="00658F60" w14:textId="77777777" w:rsidR="004D266D" w:rsidRDefault="004D266D" w:rsidP="00C347E4">
      <w:pPr>
        <w:autoSpaceDE w:val="0"/>
        <w:autoSpaceDN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  <w:sectPr w:rsidR="004D266D" w:rsidSect="00915AF7">
          <w:pgSz w:w="16838" w:h="11906" w:orient="landscape"/>
          <w:pgMar w:top="850" w:right="1134" w:bottom="1418" w:left="1134" w:header="708" w:footer="708" w:gutter="0"/>
          <w:pgNumType w:start="1" w:chapStyle="1"/>
          <w:cols w:space="708"/>
          <w:titlePg/>
          <w:docGrid w:linePitch="360"/>
        </w:sectPr>
      </w:pPr>
    </w:p>
    <w:p w14:paraId="29598A29" w14:textId="77777777" w:rsidR="004D266D" w:rsidRPr="004323AD" w:rsidRDefault="004D266D" w:rsidP="004D26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23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B161A83" w14:textId="1A385058" w:rsidR="004D266D" w:rsidRPr="004323AD" w:rsidRDefault="004D266D" w:rsidP="004D26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3AD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3AD">
        <w:rPr>
          <w:rFonts w:ascii="Times New Roman" w:hAnsi="Times New Roman" w:cs="Times New Roman"/>
          <w:sz w:val="24"/>
          <w:szCs w:val="24"/>
        </w:rPr>
        <w:t>Администрации Балахнинского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408B4" w14:textId="23BACDE3" w:rsidR="004D266D" w:rsidRPr="004323AD" w:rsidRDefault="004D266D" w:rsidP="004D26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3AD">
        <w:rPr>
          <w:rFonts w:ascii="Times New Roman" w:hAnsi="Times New Roman" w:cs="Times New Roman"/>
          <w:sz w:val="24"/>
          <w:szCs w:val="24"/>
        </w:rPr>
        <w:t>муниципального округа Нижегородской области</w:t>
      </w:r>
    </w:p>
    <w:p w14:paraId="17CEB7A3" w14:textId="63B6C140" w:rsidR="004D266D" w:rsidRPr="004323AD" w:rsidRDefault="004D266D" w:rsidP="004D26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844">
        <w:rPr>
          <w:rFonts w:ascii="Times New Roman" w:hAnsi="Times New Roman" w:cs="Times New Roman"/>
          <w:sz w:val="24"/>
          <w:szCs w:val="24"/>
        </w:rPr>
        <w:t>от 07.11.2024 № 2347</w:t>
      </w:r>
    </w:p>
    <w:p w14:paraId="44C9A4CD" w14:textId="656C221D" w:rsidR="004252CA" w:rsidRDefault="004252CA" w:rsidP="00C347E4">
      <w:pPr>
        <w:autoSpaceDE w:val="0"/>
        <w:autoSpaceDN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14:paraId="6510246A" w14:textId="77777777" w:rsidR="004D266D" w:rsidRPr="004D266D" w:rsidRDefault="004D266D" w:rsidP="004D266D">
      <w:pPr>
        <w:pStyle w:val="62"/>
        <w:shd w:val="clear" w:color="auto" w:fill="auto"/>
        <w:spacing w:before="0" w:after="384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4D266D">
        <w:rPr>
          <w:rFonts w:ascii="Times New Roman" w:hAnsi="Times New Roman" w:cs="Times New Roman"/>
          <w:sz w:val="24"/>
          <w:szCs w:val="24"/>
        </w:rPr>
        <w:t>Ключевые показатели эффективности функционирования в Администрации Балахнинского муниципального округа Нижегородской области антимонопольного комплаенса на 2025 год</w:t>
      </w:r>
    </w:p>
    <w:tbl>
      <w:tblPr>
        <w:tblpPr w:leftFromText="180" w:rightFromText="180" w:vertAnchor="text" w:horzAnchor="margin" w:tblpXSpec="center" w:tblpY="310"/>
        <w:tblOverlap w:val="never"/>
        <w:tblW w:w="1248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58"/>
        <w:gridCol w:w="6865"/>
        <w:gridCol w:w="1559"/>
        <w:gridCol w:w="3402"/>
      </w:tblGrid>
      <w:tr w:rsidR="004D266D" w:rsidRPr="004D266D" w14:paraId="3CA5AE16" w14:textId="77777777" w:rsidTr="004D266D">
        <w:trPr>
          <w:trHeight w:hRule="exact" w:val="73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61384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ind w:right="280"/>
              <w:jc w:val="right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№</w:t>
            </w:r>
          </w:p>
          <w:p w14:paraId="6497A88F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п/п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A6EA9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414C5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ind w:left="300"/>
              <w:jc w:val="left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Срок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DBF6D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Ключевой показатель эффективности</w:t>
            </w:r>
          </w:p>
        </w:tc>
      </w:tr>
      <w:tr w:rsidR="004D266D" w:rsidRPr="004D266D" w14:paraId="6DB5372B" w14:textId="77777777" w:rsidTr="004D266D">
        <w:trPr>
          <w:trHeight w:hRule="exact" w:val="126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454A4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ind w:right="280"/>
              <w:jc w:val="right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FD878" w14:textId="0D9846DB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Коэффициент эффективности выявления рисков нарушения антимонопольного законодательства в проектах</w:t>
            </w:r>
            <w:r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4D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нормативных правовых актов Администрации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0329D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25B4B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0</w:t>
            </w:r>
          </w:p>
        </w:tc>
      </w:tr>
      <w:tr w:rsidR="004D266D" w:rsidRPr="004D266D" w14:paraId="2B8319AE" w14:textId="77777777" w:rsidTr="004D266D">
        <w:trPr>
          <w:trHeight w:hRule="exact" w:val="156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24E2D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ind w:right="280"/>
              <w:jc w:val="right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E0138" w14:textId="192E0A19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Количество сотрудников</w:t>
            </w:r>
            <w:r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4D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Балахнинского муниципального округа Нижегородской области</w:t>
            </w:r>
            <w:r w:rsidRPr="004D266D">
              <w:rPr>
                <w:rStyle w:val="212pt"/>
                <w:rFonts w:ascii="Times New Roman" w:hAnsi="Times New Roman" w:cs="Times New Roman"/>
              </w:rPr>
              <w:t>,</w:t>
            </w:r>
            <w:r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4D266D">
              <w:rPr>
                <w:rStyle w:val="212pt"/>
                <w:rFonts w:ascii="Times New Roman" w:hAnsi="Times New Roman" w:cs="Times New Roman"/>
              </w:rPr>
              <w:t>прошедших обучающие мероприятия (семинары, круглые столы) по антимонопольному законодательству и антимонопольному комплаенсу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19842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891DE" w14:textId="77777777" w:rsidR="004D266D" w:rsidRPr="004D266D" w:rsidRDefault="004D266D" w:rsidP="004D266D">
            <w:pPr>
              <w:pStyle w:val="2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15EC39D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266D" w:rsidRPr="004D266D" w14:paraId="7CE63497" w14:textId="77777777" w:rsidTr="004D266D">
        <w:trPr>
          <w:trHeight w:hRule="exact" w:val="11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CF22A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632550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9B4D73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6F106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Коэффициент эффективности выявления </w:t>
            </w:r>
            <w:r w:rsidRPr="004D266D">
              <w:rPr>
                <w:rStyle w:val="212pt"/>
                <w:rFonts w:ascii="Times New Roman" w:hAnsi="Times New Roman" w:cs="Times New Roman"/>
              </w:rPr>
              <w:t>нарушений антимонопольного законодательства</w:t>
            </w:r>
            <w:r w:rsidRPr="004D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нормативных правовых актов Администрации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92827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64A1F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0</w:t>
            </w:r>
          </w:p>
        </w:tc>
      </w:tr>
      <w:tr w:rsidR="004D266D" w:rsidRPr="004D266D" w14:paraId="4A57B3A6" w14:textId="77777777" w:rsidTr="004D266D">
        <w:trPr>
          <w:trHeight w:hRule="exact" w:val="1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80F0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ind w:right="280"/>
              <w:jc w:val="right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6B493D" w14:textId="19FF9E94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Коэффициент снижения количества нарушений антимонопольного законодательства со стороны</w:t>
            </w:r>
            <w:r>
              <w:rPr>
                <w:rStyle w:val="212pt"/>
                <w:rFonts w:ascii="Times New Roman" w:hAnsi="Times New Roman" w:cs="Times New Roman"/>
              </w:rPr>
              <w:t xml:space="preserve"> </w:t>
            </w:r>
            <w:r w:rsidRPr="004D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558AA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2025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751BF" w14:textId="77777777" w:rsidR="004D266D" w:rsidRPr="004D266D" w:rsidRDefault="004D266D" w:rsidP="00C27C9D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66D">
              <w:rPr>
                <w:rStyle w:val="212pt"/>
                <w:rFonts w:ascii="Times New Roman" w:hAnsi="Times New Roman" w:cs="Times New Roman"/>
              </w:rPr>
              <w:t>100</w:t>
            </w:r>
          </w:p>
        </w:tc>
      </w:tr>
    </w:tbl>
    <w:p w14:paraId="0B6F7786" w14:textId="77777777" w:rsidR="004D266D" w:rsidRPr="00915AF7" w:rsidRDefault="004D266D" w:rsidP="00C347E4">
      <w:pPr>
        <w:autoSpaceDE w:val="0"/>
        <w:autoSpaceDN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sectPr w:rsidR="004D266D" w:rsidRPr="00915AF7" w:rsidSect="00915AF7">
      <w:pgSz w:w="16838" w:h="11906" w:orient="landscape"/>
      <w:pgMar w:top="850" w:right="1134" w:bottom="1418" w:left="1134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A6584D" w:rsidRDefault="00A6584D" w:rsidP="007F0268">
      <w:r>
        <w:separator/>
      </w:r>
    </w:p>
  </w:endnote>
  <w:endnote w:type="continuationSeparator" w:id="0">
    <w:p w14:paraId="584EC7FC" w14:textId="77777777" w:rsidR="00A6584D" w:rsidRDefault="00A6584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A6584D" w:rsidRDefault="00A6584D" w:rsidP="007F0268">
      <w:r>
        <w:separator/>
      </w:r>
    </w:p>
  </w:footnote>
  <w:footnote w:type="continuationSeparator" w:id="0">
    <w:p w14:paraId="2A592ED7" w14:textId="77777777" w:rsidR="00A6584D" w:rsidRDefault="00A6584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193915"/>
    </w:sdtPr>
    <w:sdtEndPr/>
    <w:sdtContent>
      <w:p w14:paraId="2A77431E" w14:textId="77777777" w:rsidR="00A6584D" w:rsidRDefault="00A658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7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6A818" w14:textId="77777777" w:rsidR="00A6584D" w:rsidRDefault="00A658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E06C" w14:textId="77777777" w:rsidR="00A6584D" w:rsidRDefault="00A6584D">
    <w:pPr>
      <w:pStyle w:val="a5"/>
      <w:jc w:val="center"/>
    </w:pPr>
  </w:p>
  <w:p w14:paraId="21895D9D" w14:textId="77777777" w:rsidR="00A6584D" w:rsidRDefault="00A658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5A3D6A"/>
    <w:multiLevelType w:val="hybridMultilevel"/>
    <w:tmpl w:val="39F8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81039"/>
    <w:multiLevelType w:val="hybridMultilevel"/>
    <w:tmpl w:val="996C5A58"/>
    <w:lvl w:ilvl="0" w:tplc="350ED966">
      <w:start w:val="1"/>
      <w:numFmt w:val="decimal"/>
      <w:lvlText w:val="%1."/>
      <w:lvlJc w:val="left"/>
      <w:pPr>
        <w:ind w:left="502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15785F"/>
    <w:multiLevelType w:val="multilevel"/>
    <w:tmpl w:val="1108AD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1BD2149"/>
    <w:multiLevelType w:val="hybridMultilevel"/>
    <w:tmpl w:val="578ABD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D7434"/>
    <w:multiLevelType w:val="hybridMultilevel"/>
    <w:tmpl w:val="50F07DAA"/>
    <w:lvl w:ilvl="0" w:tplc="47CE2B2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09AF"/>
    <w:multiLevelType w:val="hybridMultilevel"/>
    <w:tmpl w:val="728CBD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D084317"/>
    <w:multiLevelType w:val="hybridMultilevel"/>
    <w:tmpl w:val="FDBC9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E15C10"/>
    <w:multiLevelType w:val="hybridMultilevel"/>
    <w:tmpl w:val="E2C89DA6"/>
    <w:lvl w:ilvl="0" w:tplc="8648F2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F50AE"/>
    <w:multiLevelType w:val="hybridMultilevel"/>
    <w:tmpl w:val="ED9E5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50E9D"/>
    <w:multiLevelType w:val="hybridMultilevel"/>
    <w:tmpl w:val="2AB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1731EC8"/>
    <w:multiLevelType w:val="hybridMultilevel"/>
    <w:tmpl w:val="4420E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45AD31D4"/>
    <w:multiLevelType w:val="hybridMultilevel"/>
    <w:tmpl w:val="95C66A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5AA2243"/>
    <w:multiLevelType w:val="hybridMultilevel"/>
    <w:tmpl w:val="C6F41038"/>
    <w:lvl w:ilvl="0" w:tplc="ED022996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63D28F6"/>
    <w:multiLevelType w:val="hybridMultilevel"/>
    <w:tmpl w:val="5188665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5C240F86"/>
    <w:multiLevelType w:val="hybridMultilevel"/>
    <w:tmpl w:val="73888F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DC13FA"/>
    <w:multiLevelType w:val="hybridMultilevel"/>
    <w:tmpl w:val="3C6EB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6B5FD3"/>
    <w:multiLevelType w:val="hybridMultilevel"/>
    <w:tmpl w:val="42A878DA"/>
    <w:lvl w:ilvl="0" w:tplc="D474044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011B9"/>
    <w:multiLevelType w:val="hybridMultilevel"/>
    <w:tmpl w:val="A4C22D94"/>
    <w:lvl w:ilvl="0" w:tplc="EA460018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28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23"/>
  </w:num>
  <w:num w:numId="12">
    <w:abstractNumId w:val="21"/>
  </w:num>
  <w:num w:numId="13">
    <w:abstractNumId w:val="19"/>
  </w:num>
  <w:num w:numId="14">
    <w:abstractNumId w:val="10"/>
  </w:num>
  <w:num w:numId="15">
    <w:abstractNumId w:val="11"/>
  </w:num>
  <w:num w:numId="16">
    <w:abstractNumId w:val="20"/>
  </w:num>
  <w:num w:numId="17">
    <w:abstractNumId w:val="15"/>
  </w:num>
  <w:num w:numId="18">
    <w:abstractNumId w:val="26"/>
  </w:num>
  <w:num w:numId="19">
    <w:abstractNumId w:val="22"/>
  </w:num>
  <w:num w:numId="20">
    <w:abstractNumId w:val="25"/>
  </w:num>
  <w:num w:numId="21">
    <w:abstractNumId w:val="17"/>
  </w:num>
  <w:num w:numId="22">
    <w:abstractNumId w:val="30"/>
  </w:num>
  <w:num w:numId="23">
    <w:abstractNumId w:val="31"/>
  </w:num>
  <w:num w:numId="24">
    <w:abstractNumId w:val="12"/>
  </w:num>
  <w:num w:numId="25">
    <w:abstractNumId w:val="9"/>
  </w:num>
  <w:num w:numId="26">
    <w:abstractNumId w:val="27"/>
  </w:num>
  <w:num w:numId="27">
    <w:abstractNumId w:val="18"/>
  </w:num>
  <w:num w:numId="28">
    <w:abstractNumId w:val="8"/>
  </w:num>
  <w:num w:numId="29">
    <w:abstractNumId w:val="16"/>
  </w:num>
  <w:num w:numId="30">
    <w:abstractNumId w:val="13"/>
  </w:num>
  <w:num w:numId="3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59C4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8CF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4B8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178B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2CA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0F8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66D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6F"/>
    <w:rsid w:val="005576EF"/>
    <w:rsid w:val="00560D88"/>
    <w:rsid w:val="005610B4"/>
    <w:rsid w:val="005612FE"/>
    <w:rsid w:val="00561F93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9773D"/>
    <w:rsid w:val="00597928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80D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1A1"/>
    <w:rsid w:val="00904299"/>
    <w:rsid w:val="009048FD"/>
    <w:rsid w:val="00905348"/>
    <w:rsid w:val="009063A1"/>
    <w:rsid w:val="0091044E"/>
    <w:rsid w:val="00911040"/>
    <w:rsid w:val="00912D4A"/>
    <w:rsid w:val="00913B41"/>
    <w:rsid w:val="00915AF7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17B4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0BF3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84D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31E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2F2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7E4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3F2F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59C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07844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47A5F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268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0E9E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elle">
    <w:name w:val="spelle"/>
    <w:rsid w:val="00597928"/>
  </w:style>
  <w:style w:type="character" w:customStyle="1" w:styleId="26">
    <w:name w:val="Основной текст (2)_"/>
    <w:basedOn w:val="a1"/>
    <w:link w:val="27"/>
    <w:locked/>
    <w:rsid w:val="00915AF7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6"/>
    <w:rsid w:val="00915AF7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2pt2">
    <w:name w:val="Основной текст (2) + 12 pt2"/>
    <w:basedOn w:val="26"/>
    <w:rsid w:val="00915AF7"/>
    <w:rPr>
      <w:color w:val="898191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7">
    <w:name w:val="Основной текст (2)"/>
    <w:basedOn w:val="a0"/>
    <w:link w:val="26"/>
    <w:rsid w:val="00915AF7"/>
    <w:pPr>
      <w:widowControl w:val="0"/>
      <w:shd w:val="clear" w:color="auto" w:fill="FFFFFF"/>
      <w:spacing w:before="320" w:after="320" w:line="322" w:lineRule="exact"/>
      <w:ind w:firstLine="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2pt3">
    <w:name w:val="Основной текст (2) + 12 pt3"/>
    <w:aliases w:val="Полужирный"/>
    <w:basedOn w:val="26"/>
    <w:rsid w:val="004252CA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61">
    <w:name w:val="Основной текст (6)_"/>
    <w:basedOn w:val="a1"/>
    <w:link w:val="62"/>
    <w:locked/>
    <w:rsid w:val="004D266D"/>
    <w:rPr>
      <w:b/>
      <w:bCs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4D266D"/>
    <w:pPr>
      <w:widowControl w:val="0"/>
      <w:shd w:val="clear" w:color="auto" w:fill="FFFFFF"/>
      <w:spacing w:before="540" w:after="540" w:line="266" w:lineRule="exact"/>
      <w:ind w:firstLine="0"/>
      <w:jc w:val="center"/>
    </w:pPr>
    <w:rPr>
      <w:rFonts w:asciiTheme="minorHAnsi" w:eastAsiaTheme="minorHAnsi" w:hAnsiTheme="minorHAnsi" w:cstheme="minorBidi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elle">
    <w:name w:val="spelle"/>
    <w:rsid w:val="00597928"/>
  </w:style>
  <w:style w:type="character" w:customStyle="1" w:styleId="26">
    <w:name w:val="Основной текст (2)_"/>
    <w:basedOn w:val="a1"/>
    <w:link w:val="27"/>
    <w:locked/>
    <w:rsid w:val="00915AF7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6"/>
    <w:rsid w:val="00915AF7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2pt2">
    <w:name w:val="Основной текст (2) + 12 pt2"/>
    <w:basedOn w:val="26"/>
    <w:rsid w:val="00915AF7"/>
    <w:rPr>
      <w:color w:val="898191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7">
    <w:name w:val="Основной текст (2)"/>
    <w:basedOn w:val="a0"/>
    <w:link w:val="26"/>
    <w:rsid w:val="00915AF7"/>
    <w:pPr>
      <w:widowControl w:val="0"/>
      <w:shd w:val="clear" w:color="auto" w:fill="FFFFFF"/>
      <w:spacing w:before="320" w:after="320" w:line="322" w:lineRule="exact"/>
      <w:ind w:firstLine="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2pt3">
    <w:name w:val="Основной текст (2) + 12 pt3"/>
    <w:aliases w:val="Полужирный"/>
    <w:basedOn w:val="26"/>
    <w:rsid w:val="004252CA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61">
    <w:name w:val="Основной текст (6)_"/>
    <w:basedOn w:val="a1"/>
    <w:link w:val="62"/>
    <w:locked/>
    <w:rsid w:val="004D266D"/>
    <w:rPr>
      <w:b/>
      <w:bCs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4D266D"/>
    <w:pPr>
      <w:widowControl w:val="0"/>
      <w:shd w:val="clear" w:color="auto" w:fill="FFFFFF"/>
      <w:spacing w:before="540" w:after="540" w:line="266" w:lineRule="exact"/>
      <w:ind w:firstLine="0"/>
      <w:jc w:val="center"/>
    </w:pPr>
    <w:rPr>
      <w:rFonts w:asciiTheme="minorHAnsi" w:eastAsiaTheme="minorHAnsi" w:hAnsiTheme="minorHAnsi" w:cstheme="minorBid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18E62-A666-4D4B-B93A-CE75D36E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2024-11-11T14:08:00Z</dcterms:created>
  <dcterms:modified xsi:type="dcterms:W3CDTF">2024-11-11T14:08:00Z</dcterms:modified>
</cp:coreProperties>
</file>